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E8" w:rsidRDefault="006807E8" w:rsidP="00DF01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Toc406059069"/>
      <w:bookmarkStart w:id="1" w:name="_Toc409691733"/>
      <w:bookmarkStart w:id="2" w:name="_Toc410654074"/>
      <w:bookmarkStart w:id="3" w:name="_Toc414553282"/>
      <w:bookmarkStart w:id="4" w:name="_GoBack"/>
      <w:bookmarkEnd w:id="4"/>
      <w:r w:rsidRPr="006807E8">
        <w:rPr>
          <w:rFonts w:ascii="Times New Roman" w:hAnsi="Times New Roman"/>
          <w:b/>
          <w:sz w:val="24"/>
          <w:szCs w:val="24"/>
        </w:rPr>
        <w:t xml:space="preserve">Пункт 3.1. Основной общеобразовательной программы </w:t>
      </w:r>
      <w:r>
        <w:rPr>
          <w:rFonts w:ascii="Times New Roman" w:hAnsi="Times New Roman"/>
          <w:b/>
          <w:sz w:val="24"/>
          <w:szCs w:val="24"/>
        </w:rPr>
        <w:t>основного</w:t>
      </w:r>
      <w:r w:rsidRPr="006807E8">
        <w:rPr>
          <w:rFonts w:ascii="Times New Roman" w:hAnsi="Times New Roman"/>
          <w:b/>
          <w:sz w:val="24"/>
          <w:szCs w:val="24"/>
        </w:rPr>
        <w:t xml:space="preserve"> общего образования изложить в следующей редакции: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b/>
          <w:sz w:val="24"/>
          <w:szCs w:val="24"/>
        </w:rPr>
        <w:t>3.1. Учебный план</w:t>
      </w:r>
      <w:bookmarkEnd w:id="0"/>
      <w:r w:rsidRPr="00DF01C4"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  <w:bookmarkEnd w:id="1"/>
      <w:bookmarkEnd w:id="2"/>
      <w:bookmarkEnd w:id="3"/>
    </w:p>
    <w:p w:rsidR="00DF01C4" w:rsidRPr="00DF01C4" w:rsidRDefault="00DF01C4" w:rsidP="00DF01C4">
      <w:pPr>
        <w:pStyle w:val="21"/>
        <w:shd w:val="clear" w:color="auto" w:fill="auto"/>
        <w:tabs>
          <w:tab w:val="left" w:pos="850"/>
        </w:tabs>
        <w:ind w:left="40" w:firstLine="386"/>
        <w:jc w:val="both"/>
        <w:rPr>
          <w:sz w:val="24"/>
          <w:szCs w:val="24"/>
        </w:rPr>
      </w:pPr>
      <w:r w:rsidRPr="00DF01C4">
        <w:rPr>
          <w:sz w:val="24"/>
          <w:szCs w:val="24"/>
        </w:rPr>
        <w:t>Учебный план МБОУ «Гимназия №1» имени Мусы Джалиля, реализующий основную образовательную программу основного общего образования, фиксирует общий объём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DF01C4" w:rsidRPr="00DF01C4" w:rsidRDefault="00DF01C4" w:rsidP="00DF01C4">
      <w:pPr>
        <w:pStyle w:val="21"/>
        <w:shd w:val="clear" w:color="auto" w:fill="auto"/>
        <w:ind w:firstLine="40"/>
        <w:jc w:val="both"/>
        <w:rPr>
          <w:sz w:val="24"/>
          <w:szCs w:val="24"/>
        </w:rPr>
      </w:pPr>
      <w:r w:rsidRPr="00DF01C4">
        <w:rPr>
          <w:sz w:val="24"/>
          <w:szCs w:val="24"/>
        </w:rPr>
        <w:t>Содержание образования на ступени основного общего образования реализуется</w:t>
      </w:r>
      <w:r w:rsidRPr="00DF01C4">
        <w:rPr>
          <w:sz w:val="24"/>
          <w:szCs w:val="24"/>
        </w:rPr>
        <w:br/>
        <w:t>преимущественно за счёт введения учебных курсов, обеспечивающих целостное восприятие</w:t>
      </w:r>
      <w:r w:rsidRPr="00DF01C4">
        <w:rPr>
          <w:sz w:val="24"/>
          <w:szCs w:val="24"/>
        </w:rPr>
        <w:br/>
        <w:t>мира, системно-деятельностный подход и индивидуализацию обучения.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Учебный план для основного общего образования ориентирован на 5 летний нормативный срок освоения образовательных программ, в соответствии с вариантом 5 примерной ООП ООО (одобрена решением федерального учебно-методического объединения по основному общему образованию, протокол №1/15 от 8 апреля 2015года) для образовательных организаций, в которых обучение ведется на родном (нерусском) языке, а также образовательных организаций республик Российской Федерации, в которых законодательно установлен, наряду с государственным языком Российской Федерации, государственный язык республики – татарский.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   МБОУ «Гимназия №1» имени Мусы Джалиля работает в одну см</w:t>
      </w:r>
      <w:r>
        <w:rPr>
          <w:rFonts w:ascii="Times New Roman" w:hAnsi="Times New Roman"/>
          <w:sz w:val="24"/>
          <w:szCs w:val="24"/>
        </w:rPr>
        <w:t>ену. Языки обучения –</w:t>
      </w:r>
      <w:r w:rsidRPr="00DF01C4">
        <w:rPr>
          <w:rFonts w:ascii="Times New Roman" w:hAnsi="Times New Roman"/>
          <w:sz w:val="24"/>
          <w:szCs w:val="24"/>
        </w:rPr>
        <w:t>татарский.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   5-9 классы работают в режиме 6 – дневной учебной недели.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Продолжительность учебного года в 5-8 классах - 35 недели,  9 классах - 34 недели.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Продолжительность урока составляет 45 минут. 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Количество изучаемых предметов и предельно допустимая учебная нагрузка учащихся в учебном плане соответствуют базисному учебному плану.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При проведении занятий по следующим предметам: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•</w:t>
      </w:r>
      <w:r w:rsidRPr="00DF01C4">
        <w:rPr>
          <w:rFonts w:ascii="Times New Roman" w:hAnsi="Times New Roman"/>
          <w:sz w:val="24"/>
          <w:szCs w:val="24"/>
        </w:rPr>
        <w:tab/>
        <w:t>по иностранному языку (5-9 классы);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•</w:t>
      </w:r>
      <w:r w:rsidRPr="00DF01C4">
        <w:rPr>
          <w:rFonts w:ascii="Times New Roman" w:hAnsi="Times New Roman"/>
          <w:sz w:val="24"/>
          <w:szCs w:val="24"/>
        </w:rPr>
        <w:tab/>
        <w:t>по технологии (5-8 классы);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•</w:t>
      </w:r>
      <w:r w:rsidRPr="00DF01C4">
        <w:rPr>
          <w:rFonts w:ascii="Times New Roman" w:hAnsi="Times New Roman"/>
          <w:sz w:val="24"/>
          <w:szCs w:val="24"/>
        </w:rPr>
        <w:tab/>
        <w:t>практические занятия по физике и химии (7-9 классы);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•</w:t>
      </w:r>
      <w:r w:rsidRPr="00DF01C4">
        <w:rPr>
          <w:rFonts w:ascii="Times New Roman" w:hAnsi="Times New Roman"/>
          <w:sz w:val="24"/>
          <w:szCs w:val="24"/>
        </w:rPr>
        <w:tab/>
        <w:t>по информатике и ИКТ (7-9 классы);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•</w:t>
      </w:r>
      <w:r w:rsidRPr="00DF01C4">
        <w:rPr>
          <w:rFonts w:ascii="Times New Roman" w:hAnsi="Times New Roman"/>
          <w:sz w:val="24"/>
          <w:szCs w:val="24"/>
        </w:rPr>
        <w:tab/>
        <w:t>по русскому языку (5-9 классы).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Осуществляется деление  класса на две группы при наполняемости 25 человек и более.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Учебный план 5-9 классов ориентирован на пятилетний нормативный срок освоения образовательных программ основного общего образования и на 35 учебных недель в год в 5-8 классах, 34 учебные недели в год в 9 классах.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Учебный предмет «Иностранный язык» изучается c 5 по 9 классы по 3 часа в неделю. Предложенный объем учебного времени достаточен для освоения иностранного языка на функциональном уровне. Во всех классах преподается английский язык.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Учебный предмет «Обществознание»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Учебный предмет «Технология» с целью учета интересов и склонностей учащихся, возможностей образовательных организаций, местных социально-экономических условий изучается в рамках двух направлений: «Технология. Технический труд», «Технология. Обслуживающий труд». Каждое направление технологической подготовки обязательно включает в себя следующие разделы: «Электротехнические работы», «Технологии ведения дома», «Черчение и графика», «Современное производство и профессиональное образование».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На освоение учебного предмета «Основы безопасности жизнедеятельности» на уровне основного общего образования отведен 1 час в неделю в VIII классе. Часть традиционного </w:t>
      </w:r>
      <w:r w:rsidRPr="00DF01C4">
        <w:rPr>
          <w:rFonts w:ascii="Times New Roman" w:hAnsi="Times New Roman"/>
          <w:sz w:val="24"/>
          <w:szCs w:val="24"/>
        </w:rPr>
        <w:lastRenderedPageBreak/>
        <w:t>содержания предмета, связанная с правовыми аспектами военной службы, изучается в курсе учебного предмета «Обществознание».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Учебный предмет «Физическая культура» в 5-9 классах преподается в объеме </w:t>
      </w:r>
      <w:r>
        <w:rPr>
          <w:rFonts w:ascii="Times New Roman" w:hAnsi="Times New Roman"/>
          <w:sz w:val="24"/>
          <w:szCs w:val="24"/>
        </w:rPr>
        <w:t>2</w:t>
      </w:r>
      <w:r w:rsidRPr="00DF01C4">
        <w:rPr>
          <w:rFonts w:ascii="Times New Roman" w:hAnsi="Times New Roman"/>
          <w:sz w:val="24"/>
          <w:szCs w:val="24"/>
        </w:rPr>
        <w:t xml:space="preserve"> часов в неделю.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 обеспечиваться за счет: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 5 СанПиН 2.4.2.2821-10);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организации подвижных игр на переменах;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самостоятельных занятий обучающихся физической культурой в секциях, кружках и клубах.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 их здоровья формируются группы для занятий физической культурой: основная, подготовительная и специальная. 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Обучающиеся, имеющие удовлетворительное состояние здоровья, должны относиться к основной группе и заниматься по основной образовательной программе по предмету «Физическая культура».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Обучающиеся с недостаточным физическим развитием и низкой физической подготовленностью или имеющие незначительные отклонения в состоянии здоровья должны относиться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Обучающихся, которые на основании медицинского заключения о состоянии их здоровья не могут заниматься физической культурой по программе для основной группы, необходимо относить к специальной медицинской группе.  Занятия в этой группе отличаются от основной учебной программы объемом и структурой физической нагрузки,  а также требованиями к уровню освоения учебного материала, и организовываются в соответствии с письмом Министерства образования Российской Федерации от 31 октября 2003 г. № 13-51-263/123 «Об оценивании и аттестации учащихся,  отнесенных по состоянию здоровья к специальной медицинской группе для занятий физической культурой». 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Развитие инклюзивного образования осуществляется постепенно,  на основе планирования и реализации комплекса мер, обеспечивающих соблюдение требований к организации этой деятельности (включая наличие соответствующей материальной базы, специальных образовательных программ, подготовку педагогических коллективов, проведение разъяснительной работы с обучающимися.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общеинтеллектуальное, общекультурное. 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организации, создание условий для </w:t>
      </w:r>
      <w:r w:rsidRPr="00DF01C4">
        <w:rPr>
          <w:rFonts w:ascii="Times New Roman" w:hAnsi="Times New Roman"/>
          <w:sz w:val="24"/>
          <w:szCs w:val="24"/>
        </w:rPr>
        <w:lastRenderedPageBreak/>
        <w:t>проявления и развития детьми своих интересов на основе свободного выбора, постижения духовно-нравственных ценностей и культурных традиций.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Внеурочная деятельность способствует решению образовательных, воспитательных и развивающих задач: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создание условий для наиболее полного удовлетворения потребностей и интересов обучающихся;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расширение и углубление умений и навыков, предусмотренных учебными программами;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формирование и развитие умений применять знания на практике;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воспитание потребности в самовоспитании и самообразовании;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-личностно-нравственное развитие и профессиональное самоопределение обучающихся;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-обеспечение социальной защиты, поддержки, реабилитации и адаптации обучающихся к жизни в обществе;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формирование общей культуры обучающихся и здорового образа жизни;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- воспитание у обучающихся гражданственности, уважения к правам и свободам человека, любви к Родине, природе, семье.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Содержание занятий, предусмотренных в рамках внеурочной деятельности, сформировано с учётом пожеланий обучающихся и их родителей (законных представителей) и реализуется посредством различных форм организации, таких как, экскурсии, кружки, секции, олимпиады, конкурсы, соревнования, викторины, познавательные игры, поисковые исследования  и т. д.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Работа по привлечению  школьников во внеурочную деятельность осуществляется через посещение кружков, обучение в детской школе искусств и проведение воспитательных мероприятия. При организации внеурочной деятельности учащихся 5,6 классов гимназия использует собственные кадровые ресурсы и ДШИ.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Для реализации модели внеурочной деятельности в рамках ФГОС нового поколения в гимназии имеются необходимые условия:  имеется библиотека, актовый зал, медицинский кабинет, классы-кабинеты, столовая.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6"/>
        <w:gridCol w:w="3325"/>
        <w:gridCol w:w="296"/>
        <w:gridCol w:w="696"/>
        <w:gridCol w:w="709"/>
        <w:gridCol w:w="708"/>
        <w:gridCol w:w="709"/>
        <w:gridCol w:w="709"/>
        <w:gridCol w:w="16"/>
        <w:gridCol w:w="1163"/>
      </w:tblGrid>
      <w:tr w:rsidR="00DF01C4" w:rsidRPr="00DF01C4" w:rsidTr="006807E8">
        <w:trPr>
          <w:gridAfter w:val="2"/>
          <w:wAfter w:w="1179" w:type="dxa"/>
          <w:trHeight w:val="1332"/>
          <w:jc w:val="center"/>
        </w:trPr>
        <w:tc>
          <w:tcPr>
            <w:tcW w:w="3369" w:type="dxa"/>
            <w:vMerge w:val="restart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341" w:type="dxa"/>
            <w:gridSpan w:val="2"/>
            <w:vMerge w:val="restart"/>
            <w:tcBorders>
              <w:tr2bl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07E8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DF01C4" w:rsidRPr="00DF01C4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gridSpan w:val="6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      </w:t>
            </w:r>
          </w:p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DF01C4" w:rsidRPr="00DF01C4" w:rsidTr="006807E8">
        <w:trPr>
          <w:gridAfter w:val="1"/>
          <w:wAfter w:w="1163" w:type="dxa"/>
          <w:trHeight w:val="337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vMerge/>
            <w:tcBorders>
              <w:tr2bl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right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01C4" w:rsidRPr="00DF01C4" w:rsidTr="006807E8">
        <w:trPr>
          <w:gridAfter w:val="1"/>
          <w:wAfter w:w="1163" w:type="dxa"/>
          <w:trHeight w:val="319"/>
          <w:jc w:val="center"/>
        </w:trPr>
        <w:tc>
          <w:tcPr>
            <w:tcW w:w="336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  <w:tcBorders>
              <w:bottom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bottom w:val="nil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6807E8">
        <w:trPr>
          <w:gridAfter w:val="1"/>
          <w:wAfter w:w="1163" w:type="dxa"/>
          <w:trHeight w:val="335"/>
          <w:jc w:val="center"/>
        </w:trPr>
        <w:tc>
          <w:tcPr>
            <w:tcW w:w="3369" w:type="dxa"/>
            <w:vMerge w:val="restart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01C4" w:rsidRPr="00DF01C4" w:rsidTr="006807E8">
        <w:trPr>
          <w:trHeight w:val="380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6807E8">
        <w:trPr>
          <w:gridAfter w:val="1"/>
          <w:wAfter w:w="1163" w:type="dxa"/>
          <w:trHeight w:val="340"/>
          <w:jc w:val="center"/>
        </w:trPr>
        <w:tc>
          <w:tcPr>
            <w:tcW w:w="336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</w:tcPr>
          <w:p w:rsid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01C4" w:rsidRPr="00DF01C4" w:rsidTr="006807E8">
        <w:trPr>
          <w:gridAfter w:val="1"/>
          <w:wAfter w:w="1163" w:type="dxa"/>
          <w:trHeight w:val="133"/>
          <w:jc w:val="center"/>
        </w:trPr>
        <w:tc>
          <w:tcPr>
            <w:tcW w:w="3369" w:type="dxa"/>
          </w:tcPr>
          <w:p w:rsidR="00DF01C4" w:rsidRPr="00DF01C4" w:rsidRDefault="00DF01C4" w:rsidP="002D2E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01C4" w:rsidRPr="00DF01C4" w:rsidTr="006807E8">
        <w:trPr>
          <w:gridAfter w:val="1"/>
          <w:wAfter w:w="1163" w:type="dxa"/>
          <w:trHeight w:val="433"/>
          <w:jc w:val="center"/>
        </w:trPr>
        <w:tc>
          <w:tcPr>
            <w:tcW w:w="3369" w:type="dxa"/>
            <w:vMerge w:val="restart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6807E8">
        <w:trPr>
          <w:gridAfter w:val="1"/>
          <w:wAfter w:w="1163" w:type="dxa"/>
          <w:trHeight w:val="390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01C4" w:rsidRPr="00DF01C4" w:rsidTr="006807E8">
        <w:trPr>
          <w:gridAfter w:val="1"/>
          <w:wAfter w:w="1163" w:type="dxa"/>
          <w:trHeight w:val="204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1C4" w:rsidRPr="00DF01C4" w:rsidTr="006807E8">
        <w:trPr>
          <w:gridAfter w:val="1"/>
          <w:wAfter w:w="1163" w:type="dxa"/>
          <w:trHeight w:val="242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01C4" w:rsidRPr="00DF01C4" w:rsidTr="006807E8">
        <w:trPr>
          <w:gridAfter w:val="1"/>
          <w:wAfter w:w="1163" w:type="dxa"/>
          <w:trHeight w:val="408"/>
          <w:jc w:val="center"/>
        </w:trPr>
        <w:tc>
          <w:tcPr>
            <w:tcW w:w="3369" w:type="dxa"/>
            <w:vMerge w:val="restart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1C4" w:rsidRPr="00DF01C4" w:rsidTr="006807E8">
        <w:trPr>
          <w:gridAfter w:val="1"/>
          <w:wAfter w:w="1163" w:type="dxa"/>
          <w:trHeight w:val="237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01C4" w:rsidRPr="00DF01C4" w:rsidTr="006807E8">
        <w:trPr>
          <w:gridAfter w:val="1"/>
          <w:wAfter w:w="1163" w:type="dxa"/>
          <w:trHeight w:val="322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1C4" w:rsidRPr="00DF01C4" w:rsidTr="006807E8">
        <w:trPr>
          <w:gridAfter w:val="1"/>
          <w:wAfter w:w="1163" w:type="dxa"/>
          <w:trHeight w:val="184"/>
          <w:jc w:val="center"/>
        </w:trPr>
        <w:tc>
          <w:tcPr>
            <w:tcW w:w="3369" w:type="dxa"/>
            <w:vMerge w:val="restart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1C4" w:rsidRPr="00DF01C4" w:rsidTr="006807E8">
        <w:trPr>
          <w:gridAfter w:val="1"/>
          <w:wAfter w:w="1163" w:type="dxa"/>
          <w:trHeight w:val="218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1C4" w:rsidRPr="00DF01C4" w:rsidTr="006807E8">
        <w:trPr>
          <w:gridAfter w:val="1"/>
          <w:wAfter w:w="1163" w:type="dxa"/>
          <w:trHeight w:val="254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1C4" w:rsidRPr="00DF01C4" w:rsidTr="006807E8">
        <w:trPr>
          <w:gridAfter w:val="1"/>
          <w:wAfter w:w="1163" w:type="dxa"/>
          <w:trHeight w:val="562"/>
          <w:jc w:val="center"/>
        </w:trPr>
        <w:tc>
          <w:tcPr>
            <w:tcW w:w="3369" w:type="dxa"/>
            <w:vMerge w:val="restart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6807E8">
        <w:trPr>
          <w:gridAfter w:val="1"/>
          <w:wAfter w:w="1163" w:type="dxa"/>
          <w:trHeight w:val="309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6807E8">
        <w:trPr>
          <w:gridAfter w:val="1"/>
          <w:wAfter w:w="1163" w:type="dxa"/>
          <w:trHeight w:val="305"/>
          <w:jc w:val="center"/>
        </w:trPr>
        <w:tc>
          <w:tcPr>
            <w:tcW w:w="336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6807E8">
        <w:trPr>
          <w:gridAfter w:val="1"/>
          <w:wAfter w:w="1163" w:type="dxa"/>
          <w:trHeight w:val="563"/>
          <w:jc w:val="center"/>
        </w:trPr>
        <w:tc>
          <w:tcPr>
            <w:tcW w:w="3369" w:type="dxa"/>
            <w:vMerge w:val="restart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gridSpan w:val="2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01C4" w:rsidRPr="00DF01C4" w:rsidTr="006807E8">
        <w:trPr>
          <w:gridAfter w:val="1"/>
          <w:wAfter w:w="1163" w:type="dxa"/>
          <w:trHeight w:val="390"/>
          <w:jc w:val="center"/>
        </w:trPr>
        <w:tc>
          <w:tcPr>
            <w:tcW w:w="3369" w:type="dxa"/>
            <w:vMerge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1C4" w:rsidRPr="00DF01C4" w:rsidTr="006807E8">
        <w:trPr>
          <w:gridAfter w:val="1"/>
          <w:wAfter w:w="1163" w:type="dxa"/>
          <w:trHeight w:val="288"/>
          <w:jc w:val="center"/>
        </w:trPr>
        <w:tc>
          <w:tcPr>
            <w:tcW w:w="6710" w:type="dxa"/>
            <w:gridSpan w:val="3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F01C4" w:rsidRPr="00DF01C4" w:rsidTr="006807E8">
        <w:trPr>
          <w:gridAfter w:val="1"/>
          <w:wAfter w:w="1163" w:type="dxa"/>
          <w:trHeight w:val="580"/>
          <w:jc w:val="center"/>
        </w:trPr>
        <w:tc>
          <w:tcPr>
            <w:tcW w:w="3385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3325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01C4" w:rsidRPr="00DF01C4" w:rsidTr="006807E8">
        <w:trPr>
          <w:gridAfter w:val="1"/>
          <w:wAfter w:w="1163" w:type="dxa"/>
          <w:trHeight w:val="290"/>
          <w:jc w:val="center"/>
        </w:trPr>
        <w:tc>
          <w:tcPr>
            <w:tcW w:w="6710" w:type="dxa"/>
            <w:gridSpan w:val="3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gridSpan w:val="2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5" w:type="dxa"/>
            <w:gridSpan w:val="2"/>
          </w:tcPr>
          <w:p w:rsidR="00DF01C4" w:rsidRPr="00DF01C4" w:rsidRDefault="006807E8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 xml:space="preserve">       Формы проведения промежуточной аттестации по учебным дисциплинам</w:t>
      </w: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C4">
        <w:rPr>
          <w:rFonts w:ascii="Times New Roman" w:hAnsi="Times New Roman"/>
          <w:sz w:val="24"/>
          <w:szCs w:val="24"/>
        </w:rPr>
        <w:t>Основное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987"/>
        <w:gridCol w:w="986"/>
        <w:gridCol w:w="986"/>
        <w:gridCol w:w="986"/>
        <w:gridCol w:w="986"/>
        <w:gridCol w:w="986"/>
        <w:gridCol w:w="986"/>
        <w:gridCol w:w="986"/>
        <w:gridCol w:w="986"/>
      </w:tblGrid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Предмет,класс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 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 xml:space="preserve">Диктант с грамматическим заданием,выставление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Диктант с грамматическим заданием,выставление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Диктант с грамматическим заданием,выставление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Диктант с грамматическим заданием,выставление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 xml:space="preserve">Диктант с грамматическим заданием,выставление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Татарская литература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Зачет,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Зачет, 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Контрольная работа, 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 xml:space="preserve">Тестирование,выставление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Тестирование,выставление годовой 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Презентацияпрактической работы,выставление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Презентацияпрактической работы,выставление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Презентацияпрактической работы,выставление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Презентацияпрактической работы,выставление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Проект,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Проект,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Проект, 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Практическая работа, выставление годово</w:t>
            </w: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Сдача нормативов,выставление годовой оценки</w:t>
            </w: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1C4" w:rsidRPr="00DF01C4" w:rsidTr="002B52F5">
        <w:tc>
          <w:tcPr>
            <w:tcW w:w="605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  <w:tc>
          <w:tcPr>
            <w:tcW w:w="841" w:type="dxa"/>
            <w:shd w:val="clear" w:color="auto" w:fill="auto"/>
          </w:tcPr>
          <w:p w:rsidR="00DF01C4" w:rsidRPr="00DF01C4" w:rsidRDefault="00DF01C4" w:rsidP="002B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1C4">
              <w:rPr>
                <w:rFonts w:ascii="Times New Roman" w:hAnsi="Times New Roman"/>
                <w:sz w:val="24"/>
                <w:szCs w:val="24"/>
              </w:rPr>
              <w:t>Тестирование,выставление годовой оценки</w:t>
            </w:r>
          </w:p>
        </w:tc>
      </w:tr>
    </w:tbl>
    <w:p w:rsidR="00DF01C4" w:rsidRPr="00DF01C4" w:rsidRDefault="00DF01C4" w:rsidP="00DF0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F01C4" w:rsidRPr="00DF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C4"/>
    <w:rsid w:val="006807E8"/>
    <w:rsid w:val="008D1285"/>
    <w:rsid w:val="00BD45B9"/>
    <w:rsid w:val="00DF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DF01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F01C4"/>
    <w:pPr>
      <w:widowControl w:val="0"/>
      <w:shd w:val="clear" w:color="auto" w:fill="FFFFFF"/>
      <w:spacing w:after="0" w:line="274" w:lineRule="exact"/>
    </w:pPr>
    <w:rPr>
      <w:rFonts w:ascii="Times New Roman" w:hAnsi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8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7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DF01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F01C4"/>
    <w:pPr>
      <w:widowControl w:val="0"/>
      <w:shd w:val="clear" w:color="auto" w:fill="FFFFFF"/>
      <w:spacing w:after="0" w:line="274" w:lineRule="exact"/>
    </w:pPr>
    <w:rPr>
      <w:rFonts w:ascii="Times New Roman" w:hAnsi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8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7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2017-11-08T11:18:00Z</cp:lastPrinted>
  <dcterms:created xsi:type="dcterms:W3CDTF">2017-11-09T08:49:00Z</dcterms:created>
  <dcterms:modified xsi:type="dcterms:W3CDTF">2017-11-09T08:49:00Z</dcterms:modified>
</cp:coreProperties>
</file>